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C47E32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8A7C1A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A7C1A">
        <w:rPr>
          <w:rFonts w:ascii="Arial" w:hAnsi="Arial" w:cs="Arial"/>
          <w:b/>
          <w:sz w:val="24"/>
          <w:szCs w:val="28"/>
          <w:lang w:val="en-US"/>
        </w:rPr>
        <w:t>1</w:t>
      </w:r>
      <w:r w:rsidR="00DC7859">
        <w:rPr>
          <w:rFonts w:ascii="Arial" w:hAnsi="Arial" w:cs="Arial"/>
          <w:b/>
          <w:sz w:val="24"/>
          <w:szCs w:val="28"/>
          <w:lang w:val="en-US"/>
        </w:rPr>
        <w:t>026</w:t>
      </w:r>
      <w:r w:rsidR="00613F9B">
        <w:rPr>
          <w:rFonts w:ascii="Arial" w:hAnsi="Arial" w:cs="Arial"/>
          <w:b/>
          <w:sz w:val="24"/>
          <w:szCs w:val="28"/>
          <w:lang w:val="en-US"/>
        </w:rPr>
        <w:t>38</w:t>
      </w:r>
    </w:p>
    <w:p w14:paraId="60407F1B" w14:textId="41BB0A9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A7C1A">
        <w:rPr>
          <w:rFonts w:ascii="Arial" w:hAnsi="Arial" w:cs="Arial"/>
          <w:b/>
          <w:sz w:val="24"/>
          <w:szCs w:val="28"/>
          <w:lang w:val="en-US"/>
        </w:rPr>
        <w:t>Jan 25-Feb 05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A0065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3F84D377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133F24">
        <w:rPr>
          <w:rFonts w:ascii="Arial" w:hAnsi="Arial" w:cs="Arial"/>
          <w:sz w:val="22"/>
          <w:szCs w:val="22"/>
          <w:lang w:val="en-US"/>
        </w:rPr>
        <w:t>5.2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B05EE74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33F24" w:rsidRPr="00133F24">
        <w:rPr>
          <w:rFonts w:ascii="Arial" w:hAnsi="Arial" w:cs="Arial"/>
          <w:sz w:val="22"/>
          <w:szCs w:val="22"/>
        </w:rPr>
        <w:t>Analysis of RRC re-establishment tests for LA IAB-MT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F19DC78" w14:textId="5567EC4C" w:rsidR="00BF61E4" w:rsidRDefault="00A03030" w:rsidP="00A0303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the </w:t>
      </w:r>
      <w:r w:rsidR="00AC2528">
        <w:rPr>
          <w:sz w:val="22"/>
          <w:szCs w:val="22"/>
          <w:lang w:val="en-US"/>
        </w:rPr>
        <w:t xml:space="preserve">following </w:t>
      </w:r>
      <w:r w:rsidR="00956345">
        <w:rPr>
          <w:sz w:val="22"/>
          <w:szCs w:val="22"/>
          <w:lang w:val="en-US"/>
        </w:rPr>
        <w:t xml:space="preserve">was </w:t>
      </w:r>
      <w:r w:rsidR="00BF61E4">
        <w:rPr>
          <w:sz w:val="22"/>
          <w:szCs w:val="22"/>
          <w:lang w:val="en-US"/>
        </w:rPr>
        <w:t>agree</w:t>
      </w:r>
      <w:r w:rsidR="00956345">
        <w:rPr>
          <w:sz w:val="22"/>
          <w:szCs w:val="22"/>
          <w:lang w:val="en-US"/>
        </w:rPr>
        <w:t>d</w:t>
      </w:r>
      <w:r w:rsidR="00BF61E4">
        <w:rPr>
          <w:sz w:val="22"/>
          <w:szCs w:val="22"/>
          <w:lang w:val="en-US"/>
        </w:rPr>
        <w:t xml:space="preserve"> and </w:t>
      </w:r>
      <w:r w:rsidR="00AC2528">
        <w:rPr>
          <w:sz w:val="22"/>
          <w:szCs w:val="22"/>
          <w:lang w:val="en-US"/>
        </w:rPr>
        <w:t>captured in the approved WF</w:t>
      </w:r>
      <w:r w:rsidR="00BF61E4">
        <w:rPr>
          <w:sz w:val="22"/>
          <w:szCs w:val="22"/>
          <w:lang w:val="en-US"/>
        </w:rPr>
        <w:t xml:space="preserve"> regarding RRM tests for IAB-MT in general and </w:t>
      </w:r>
      <w:r w:rsidR="001431F3">
        <w:rPr>
          <w:sz w:val="22"/>
          <w:szCs w:val="22"/>
          <w:lang w:val="en-US"/>
        </w:rPr>
        <w:t xml:space="preserve">for </w:t>
      </w:r>
      <w:r w:rsidR="00BF61E4">
        <w:rPr>
          <w:sz w:val="22"/>
          <w:szCs w:val="22"/>
          <w:lang w:val="en-US"/>
        </w:rPr>
        <w:t>RRC re-establishment test case</w:t>
      </w:r>
      <w:r w:rsidR="001431F3">
        <w:rPr>
          <w:sz w:val="22"/>
          <w:szCs w:val="22"/>
          <w:lang w:val="en-US"/>
        </w:rPr>
        <w:t xml:space="preserve">s </w:t>
      </w:r>
      <w:r w:rsidR="00BF61E4">
        <w:rPr>
          <w:sz w:val="22"/>
          <w:szCs w:val="22"/>
          <w:lang w:val="en-US"/>
        </w:rPr>
        <w:t>in particular</w:t>
      </w:r>
      <w:r w:rsidR="00AC2528">
        <w:rPr>
          <w:sz w:val="22"/>
          <w:szCs w:val="22"/>
          <w:lang w:val="en-US"/>
        </w:rPr>
        <w:t xml:space="preserve"> [</w:t>
      </w:r>
      <w:r w:rsidR="00BF61E4">
        <w:rPr>
          <w:sz w:val="22"/>
          <w:szCs w:val="22"/>
          <w:lang w:val="en-US"/>
        </w:rPr>
        <w:t>1</w:t>
      </w:r>
      <w:r w:rsidR="00AC2528">
        <w:rPr>
          <w:sz w:val="22"/>
          <w:szCs w:val="22"/>
          <w:lang w:val="en-US"/>
        </w:rPr>
        <w:t>]:</w:t>
      </w:r>
    </w:p>
    <w:p w14:paraId="17149B84" w14:textId="77777777" w:rsidR="00BF61E4" w:rsidRDefault="00BF61E4" w:rsidP="00A03030">
      <w:pPr>
        <w:spacing w:before="240" w:after="0"/>
        <w:rPr>
          <w:sz w:val="22"/>
          <w:szCs w:val="22"/>
          <w:lang w:val="en-US"/>
        </w:rPr>
      </w:pPr>
    </w:p>
    <w:p w14:paraId="457D2C04" w14:textId="5EA4B205" w:rsidR="009D1C1E" w:rsidRPr="00BF61E4" w:rsidRDefault="00BF61E4" w:rsidP="00BF61E4">
      <w:pPr>
        <w:numPr>
          <w:ilvl w:val="0"/>
          <w:numId w:val="27"/>
        </w:numPr>
        <w:pBdr>
          <w:top w:val="single" w:sz="4" w:space="1" w:color="auto"/>
        </w:pBdr>
        <w:tabs>
          <w:tab w:val="clear" w:pos="720"/>
          <w:tab w:val="num" w:pos="-187"/>
        </w:tabs>
        <w:kinsoku w:val="0"/>
        <w:overflowPunct w:val="0"/>
        <w:spacing w:after="0"/>
        <w:ind w:left="360"/>
        <w:contextualSpacing/>
        <w:textAlignment w:val="baseline"/>
        <w:rPr>
          <w:i/>
          <w:iCs/>
          <w:sz w:val="22"/>
          <w:szCs w:val="22"/>
          <w:lang w:val="en-US" w:eastAsia="sv-SE"/>
        </w:rPr>
      </w:pPr>
      <w:r w:rsidRPr="00BF61E4">
        <w:rPr>
          <w:rFonts w:ascii="Calibri" w:eastAsia="Malgun Gothic" w:hAnsi="Calibri" w:cs="+mn-cs"/>
          <w:i/>
          <w:iCs/>
          <w:color w:val="000000"/>
          <w:kern w:val="24"/>
          <w:sz w:val="22"/>
          <w:szCs w:val="22"/>
          <w:lang w:val="en-US" w:eastAsia="sv-SE"/>
        </w:rPr>
        <w:t>Take UE test cases in TS 38.133 Annex as baseline when defining test cases for IAB-MTs.</w:t>
      </w:r>
    </w:p>
    <w:p w14:paraId="2C940705" w14:textId="77777777" w:rsidR="00BF61E4" w:rsidRPr="00BF61E4" w:rsidRDefault="00BF61E4" w:rsidP="00BF61E4">
      <w:pPr>
        <w:kinsoku w:val="0"/>
        <w:overflowPunct w:val="0"/>
        <w:spacing w:after="0"/>
        <w:ind w:left="360"/>
        <w:contextualSpacing/>
        <w:textAlignment w:val="baseline"/>
        <w:rPr>
          <w:i/>
          <w:iCs/>
          <w:sz w:val="22"/>
          <w:szCs w:val="22"/>
          <w:lang w:val="en-US" w:eastAsia="sv-SE"/>
        </w:rPr>
      </w:pPr>
    </w:p>
    <w:p w14:paraId="71C524FF" w14:textId="6F4E5EB4" w:rsidR="00BF61E4" w:rsidRPr="00BF61E4" w:rsidRDefault="009D1C1E" w:rsidP="00BF61E4">
      <w:pPr>
        <w:numPr>
          <w:ilvl w:val="0"/>
          <w:numId w:val="25"/>
        </w:numPr>
        <w:tabs>
          <w:tab w:val="clear" w:pos="720"/>
          <w:tab w:val="num" w:pos="-187"/>
        </w:tabs>
        <w:kinsoku w:val="0"/>
        <w:overflowPunct w:val="0"/>
        <w:spacing w:after="0"/>
        <w:ind w:left="360"/>
        <w:contextualSpacing/>
        <w:textAlignment w:val="baseline"/>
        <w:rPr>
          <w:i/>
          <w:iCs/>
          <w:sz w:val="22"/>
          <w:szCs w:val="22"/>
          <w:lang w:val="en-US" w:eastAsia="sv-SE"/>
        </w:rPr>
      </w:pPr>
      <w:r w:rsidRPr="009D1C1E">
        <w:rPr>
          <w:rFonts w:ascii="Calibri" w:eastAsia="Malgun Gothic" w:hAnsi="Calibri" w:cs="+mn-cs"/>
          <w:i/>
          <w:iCs/>
          <w:color w:val="000000"/>
          <w:kern w:val="24"/>
          <w:sz w:val="22"/>
          <w:szCs w:val="22"/>
          <w:lang w:val="en-US" w:eastAsia="sv-SE"/>
        </w:rPr>
        <w:t>For RRC Re-establishment, only unknown target cell should be considered in the testing and only local-area IAB-MT to be tested.</w:t>
      </w:r>
    </w:p>
    <w:p w14:paraId="51CCEFFD" w14:textId="77777777" w:rsidR="00BF61E4" w:rsidRPr="00BF61E4" w:rsidRDefault="00BF61E4" w:rsidP="00BF61E4">
      <w:pPr>
        <w:kinsoku w:val="0"/>
        <w:overflowPunct w:val="0"/>
        <w:spacing w:after="0"/>
        <w:ind w:left="360"/>
        <w:contextualSpacing/>
        <w:textAlignment w:val="baseline"/>
        <w:rPr>
          <w:i/>
          <w:iCs/>
          <w:sz w:val="22"/>
          <w:szCs w:val="22"/>
          <w:lang w:val="en-US" w:eastAsia="sv-SE"/>
        </w:rPr>
      </w:pPr>
    </w:p>
    <w:p w14:paraId="2BB76CFD" w14:textId="135C9A1B" w:rsidR="004A2EF3" w:rsidRPr="00BF61E4" w:rsidRDefault="004A2EF3" w:rsidP="00BF61E4">
      <w:pPr>
        <w:numPr>
          <w:ilvl w:val="0"/>
          <w:numId w:val="25"/>
        </w:numPr>
        <w:pBdr>
          <w:bottom w:val="single" w:sz="4" w:space="1" w:color="auto"/>
        </w:pBdr>
        <w:tabs>
          <w:tab w:val="clear" w:pos="720"/>
          <w:tab w:val="num" w:pos="-187"/>
        </w:tabs>
        <w:kinsoku w:val="0"/>
        <w:overflowPunct w:val="0"/>
        <w:spacing w:after="0"/>
        <w:ind w:left="360"/>
        <w:contextualSpacing/>
        <w:textAlignment w:val="baseline"/>
        <w:rPr>
          <w:i/>
          <w:iCs/>
          <w:sz w:val="22"/>
          <w:szCs w:val="22"/>
          <w:lang w:val="en-US" w:eastAsia="sv-SE"/>
        </w:rPr>
      </w:pPr>
      <w:r w:rsidRPr="004A2EF3">
        <w:rPr>
          <w:rFonts w:ascii="Calibri" w:eastAsia="Malgun Gothic" w:hAnsi="Calibri" w:cs="+mn-cs"/>
          <w:i/>
          <w:iCs/>
          <w:color w:val="000000"/>
          <w:kern w:val="24"/>
          <w:sz w:val="22"/>
          <w:szCs w:val="22"/>
          <w:lang w:val="en-US" w:eastAsia="sv-SE"/>
        </w:rPr>
        <w:t>RRM tests are defined in FR1 for IAB type 1-H and FR2 for IAB type 2-O to verify all IAB-MT requirements defined in TS 38.174 that are also feasible to test.</w:t>
      </w:r>
    </w:p>
    <w:p w14:paraId="6FC1710D" w14:textId="6A8B6A12" w:rsidR="0055506E" w:rsidRPr="001D2FBF" w:rsidRDefault="008A7C1A" w:rsidP="00A0303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5E2413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</w:t>
      </w:r>
      <w:r w:rsidR="00BF61E4">
        <w:rPr>
          <w:sz w:val="22"/>
          <w:szCs w:val="22"/>
          <w:lang w:val="en-US"/>
        </w:rPr>
        <w:t>the test cases to verify requirements on RRC re-establishment to target cell</w:t>
      </w:r>
      <w:r w:rsidR="005E2413">
        <w:rPr>
          <w:sz w:val="22"/>
          <w:szCs w:val="22"/>
          <w:lang w:val="en-US"/>
        </w:rPr>
        <w:t xml:space="preserve">. </w:t>
      </w:r>
    </w:p>
    <w:p w14:paraId="441006D0" w14:textId="64C99742" w:rsidR="00E32EF4" w:rsidRPr="001D2FBF" w:rsidRDefault="000712EE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Test setup and scenarios for </w:t>
      </w:r>
      <w:r w:rsidRPr="000712EE">
        <w:t>RRC re-establishment</w:t>
      </w:r>
      <w:r>
        <w:t xml:space="preserve"> tests</w:t>
      </w:r>
    </w:p>
    <w:p w14:paraId="3D071F65" w14:textId="427295CC" w:rsidR="00FF1261" w:rsidRDefault="00FF1261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IAB-MT core requirements for RRC re-establishment are specified for both intra-frequency and inter-frequency target cells in clause </w:t>
      </w:r>
      <w:r w:rsidR="005D6231">
        <w:rPr>
          <w:sz w:val="22"/>
          <w:szCs w:val="22"/>
        </w:rPr>
        <w:t>12.2.1.1, TS 38.174.</w:t>
      </w:r>
      <w:r w:rsidR="009A079F">
        <w:rPr>
          <w:sz w:val="22"/>
          <w:szCs w:val="22"/>
        </w:rPr>
        <w:t xml:space="preserve"> Furthermore, requirements are also defined for the case when the IAB-MT does not have serving cell timing e.g. when </w:t>
      </w:r>
      <w:r w:rsidR="00DA4084">
        <w:rPr>
          <w:sz w:val="22"/>
          <w:szCs w:val="22"/>
        </w:rPr>
        <w:t>serving cell SCH Es/</w:t>
      </w:r>
      <w:proofErr w:type="spellStart"/>
      <w:r w:rsidR="00DA4084">
        <w:rPr>
          <w:sz w:val="22"/>
          <w:szCs w:val="22"/>
        </w:rPr>
        <w:t>Iot</w:t>
      </w:r>
      <w:proofErr w:type="spellEnd"/>
      <w:r w:rsidR="00DA4084">
        <w:rPr>
          <w:sz w:val="22"/>
          <w:szCs w:val="22"/>
        </w:rPr>
        <w:t xml:space="preserve"> &lt; -8 </w:t>
      </w:r>
      <w:proofErr w:type="spellStart"/>
      <w:r w:rsidR="00DA4084">
        <w:rPr>
          <w:sz w:val="22"/>
          <w:szCs w:val="22"/>
        </w:rPr>
        <w:t>dB.</w:t>
      </w:r>
      <w:proofErr w:type="spellEnd"/>
    </w:p>
    <w:p w14:paraId="73506F4F" w14:textId="0750ACF0" w:rsidR="000712EE" w:rsidRDefault="000712EE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In the annex of TS 38.133 the following RRC re-establishment test cases are defined for the UE in standalone scenario in FR1 and FR2:</w:t>
      </w:r>
    </w:p>
    <w:p w14:paraId="3F658B8E" w14:textId="27F9AF98" w:rsidR="00E9598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A.6.3.2.1.2</w:t>
      </w:r>
      <w:r w:rsidRPr="00E34582">
        <w:rPr>
          <w:rFonts w:ascii="Times New Roman" w:hAnsi="Times New Roman"/>
          <w:szCs w:val="22"/>
        </w:rPr>
        <w:tab/>
        <w:t>Intra-frequency RRC Re-establishment in FR</w:t>
      </w:r>
      <w:r w:rsidR="00E34582" w:rsidRPr="00E34582">
        <w:rPr>
          <w:rFonts w:ascii="Times New Roman" w:hAnsi="Times New Roman"/>
          <w:szCs w:val="22"/>
        </w:rPr>
        <w:t>1</w:t>
      </w:r>
    </w:p>
    <w:p w14:paraId="35A789E0" w14:textId="2BBE2BF1" w:rsidR="00E9598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A.6.3.2.1.2</w:t>
      </w:r>
      <w:r w:rsidRPr="00E34582">
        <w:rPr>
          <w:rFonts w:ascii="Times New Roman" w:hAnsi="Times New Roman"/>
          <w:szCs w:val="22"/>
        </w:rPr>
        <w:tab/>
        <w:t>Inter-frequency RRC Re-establishment in FR1</w:t>
      </w:r>
    </w:p>
    <w:p w14:paraId="435F1BA1" w14:textId="77612532" w:rsidR="000712EE" w:rsidRPr="00E34582" w:rsidRDefault="00E9598E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A.6.3.2.1.3</w:t>
      </w:r>
      <w:r w:rsidRPr="00E34582">
        <w:rPr>
          <w:rFonts w:ascii="Times New Roman" w:hAnsi="Times New Roman"/>
          <w:szCs w:val="22"/>
        </w:rPr>
        <w:tab/>
        <w:t>Intra-frequency RRC Re-establishment in FR1 without serving cell timing</w:t>
      </w:r>
    </w:p>
    <w:p w14:paraId="0C169C29" w14:textId="7468F898" w:rsidR="00E34582" w:rsidRPr="00E34582" w:rsidRDefault="00E34582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A.7.3.2.1.1</w:t>
      </w:r>
      <w:r w:rsidRPr="00E34582">
        <w:rPr>
          <w:rFonts w:ascii="Times New Roman" w:hAnsi="Times New Roman"/>
          <w:szCs w:val="22"/>
        </w:rPr>
        <w:tab/>
        <w:t>Intra-frequency RRC Re-establishment in FR2</w:t>
      </w:r>
    </w:p>
    <w:p w14:paraId="5A717C80" w14:textId="29C6F814" w:rsidR="00E34582" w:rsidRPr="00E34582" w:rsidRDefault="00E34582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A.7.3.2.1.2</w:t>
      </w:r>
      <w:r w:rsidRPr="00E34582">
        <w:rPr>
          <w:rFonts w:ascii="Times New Roman" w:hAnsi="Times New Roman"/>
          <w:szCs w:val="22"/>
        </w:rPr>
        <w:tab/>
        <w:t>Inter-frequency RRC Re-establishment in FR2</w:t>
      </w:r>
    </w:p>
    <w:p w14:paraId="4FB1FBBF" w14:textId="4EC22FC3" w:rsidR="00E9598E" w:rsidRPr="00E34582" w:rsidRDefault="00E34582" w:rsidP="00E34582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/>
          <w:szCs w:val="22"/>
        </w:rPr>
      </w:pPr>
      <w:r w:rsidRPr="00E34582">
        <w:rPr>
          <w:rFonts w:ascii="Times New Roman" w:hAnsi="Times New Roman"/>
          <w:szCs w:val="22"/>
        </w:rPr>
        <w:t>A.7.3.2.1.3</w:t>
      </w:r>
      <w:r w:rsidRPr="00E34582">
        <w:rPr>
          <w:rFonts w:ascii="Times New Roman" w:hAnsi="Times New Roman"/>
          <w:szCs w:val="22"/>
        </w:rPr>
        <w:tab/>
        <w:t>Intra-frequency RRC Re-establishment in FR2 without serving cell timing</w:t>
      </w:r>
    </w:p>
    <w:p w14:paraId="28F31094" w14:textId="6C0A42E2" w:rsidR="00350BBF" w:rsidRDefault="00350BBF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UE tests on i</w:t>
      </w:r>
      <w:r w:rsidRPr="00350BBF">
        <w:rPr>
          <w:sz w:val="22"/>
          <w:szCs w:val="22"/>
        </w:rPr>
        <w:t xml:space="preserve">ntra-frequency RRC </w:t>
      </w:r>
      <w:r>
        <w:rPr>
          <w:sz w:val="22"/>
          <w:szCs w:val="22"/>
        </w:rPr>
        <w:t>r</w:t>
      </w:r>
      <w:r w:rsidRPr="00350BBF">
        <w:rPr>
          <w:sz w:val="22"/>
          <w:szCs w:val="22"/>
        </w:rPr>
        <w:t>e-establishment</w:t>
      </w:r>
      <w:r>
        <w:rPr>
          <w:sz w:val="22"/>
          <w:szCs w:val="22"/>
        </w:rPr>
        <w:t xml:space="preserve"> (tests in clauses </w:t>
      </w:r>
      <w:r w:rsidRPr="00350BBF">
        <w:rPr>
          <w:sz w:val="22"/>
          <w:szCs w:val="22"/>
        </w:rPr>
        <w:t>A.6.3.2.1.2</w:t>
      </w:r>
      <w:r>
        <w:rPr>
          <w:sz w:val="22"/>
          <w:szCs w:val="22"/>
        </w:rPr>
        <w:t xml:space="preserve"> and </w:t>
      </w:r>
      <w:r w:rsidRPr="00350BBF">
        <w:rPr>
          <w:sz w:val="22"/>
          <w:szCs w:val="22"/>
        </w:rPr>
        <w:t>A.7.3.2.1.1</w:t>
      </w:r>
      <w:r>
        <w:rPr>
          <w:sz w:val="22"/>
          <w:szCs w:val="22"/>
        </w:rPr>
        <w:t xml:space="preserve">) when serving cell timing is known are done when the target cell is known. </w:t>
      </w:r>
    </w:p>
    <w:p w14:paraId="3285E8B5" w14:textId="6936FD2C" w:rsidR="00E34582" w:rsidRDefault="00ED0953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For IAB-MT as per agreement the target cell should be unknown. </w:t>
      </w:r>
      <w:r w:rsidR="00DA4084">
        <w:rPr>
          <w:sz w:val="22"/>
          <w:szCs w:val="22"/>
        </w:rPr>
        <w:t xml:space="preserve">Therefore, </w:t>
      </w:r>
      <w:r>
        <w:rPr>
          <w:sz w:val="22"/>
          <w:szCs w:val="22"/>
        </w:rPr>
        <w:t xml:space="preserve">all the </w:t>
      </w:r>
      <w:r w:rsidR="00DA4084">
        <w:rPr>
          <w:sz w:val="22"/>
          <w:szCs w:val="22"/>
        </w:rPr>
        <w:t xml:space="preserve">UE tests </w:t>
      </w:r>
      <w:r>
        <w:rPr>
          <w:sz w:val="22"/>
          <w:szCs w:val="22"/>
        </w:rPr>
        <w:t xml:space="preserve">(except tests in clauses </w:t>
      </w:r>
      <w:r w:rsidRPr="00350BBF">
        <w:rPr>
          <w:sz w:val="22"/>
          <w:szCs w:val="22"/>
        </w:rPr>
        <w:t>A.6.3.2.1.2</w:t>
      </w:r>
      <w:r>
        <w:rPr>
          <w:sz w:val="22"/>
          <w:szCs w:val="22"/>
        </w:rPr>
        <w:t xml:space="preserve"> and </w:t>
      </w:r>
      <w:r w:rsidRPr="00350BBF">
        <w:rPr>
          <w:sz w:val="22"/>
          <w:szCs w:val="22"/>
        </w:rPr>
        <w:t>A.7.3.2.1.1</w:t>
      </w:r>
      <w:r>
        <w:rPr>
          <w:sz w:val="22"/>
          <w:szCs w:val="22"/>
        </w:rPr>
        <w:t xml:space="preserve">) </w:t>
      </w:r>
      <w:r w:rsidR="00DA4084">
        <w:rPr>
          <w:sz w:val="22"/>
          <w:szCs w:val="22"/>
        </w:rPr>
        <w:t xml:space="preserve">can be reused to </w:t>
      </w:r>
      <w:proofErr w:type="spellStart"/>
      <w:r w:rsidR="00350BBF">
        <w:rPr>
          <w:sz w:val="22"/>
          <w:szCs w:val="22"/>
        </w:rPr>
        <w:t>develeop</w:t>
      </w:r>
      <w:proofErr w:type="spellEnd"/>
      <w:r w:rsidR="00350BBF">
        <w:rPr>
          <w:sz w:val="22"/>
          <w:szCs w:val="22"/>
        </w:rPr>
        <w:t xml:space="preserve"> </w:t>
      </w:r>
      <w:r w:rsidR="00F61EC5">
        <w:rPr>
          <w:sz w:val="22"/>
          <w:szCs w:val="22"/>
        </w:rPr>
        <w:t xml:space="preserve">corresponding IAB-MT tests to </w:t>
      </w:r>
      <w:r w:rsidR="00DA4084">
        <w:rPr>
          <w:sz w:val="22"/>
          <w:szCs w:val="22"/>
        </w:rPr>
        <w:t xml:space="preserve">verify different types of </w:t>
      </w:r>
      <w:r w:rsidR="00F61EC5">
        <w:rPr>
          <w:sz w:val="22"/>
          <w:szCs w:val="22"/>
        </w:rPr>
        <w:t xml:space="preserve">RRC re-establishment </w:t>
      </w:r>
      <w:r w:rsidR="00DA4084">
        <w:rPr>
          <w:sz w:val="22"/>
          <w:szCs w:val="22"/>
        </w:rPr>
        <w:t>requirements</w:t>
      </w:r>
      <w:r w:rsidR="00F61EC5">
        <w:rPr>
          <w:sz w:val="22"/>
          <w:szCs w:val="22"/>
        </w:rPr>
        <w:t xml:space="preserve"> for IAB-MT</w:t>
      </w:r>
      <w:r w:rsidR="00DA4084">
        <w:rPr>
          <w:sz w:val="22"/>
          <w:szCs w:val="22"/>
        </w:rPr>
        <w:t>.</w:t>
      </w:r>
      <w:r w:rsidR="00F61EC5">
        <w:rPr>
          <w:sz w:val="22"/>
          <w:szCs w:val="22"/>
        </w:rPr>
        <w:t xml:space="preserve"> </w:t>
      </w:r>
      <w:r w:rsidR="008111B7">
        <w:rPr>
          <w:sz w:val="22"/>
          <w:szCs w:val="22"/>
        </w:rPr>
        <w:t xml:space="preserve">The tests are limited to local area (LA) IAB-MT as also agreed in the WF [1]. Furthermore, FR1 and FR2 tests will be applicable to IAB type 1-H and IAB type 2-O respectively. </w:t>
      </w:r>
      <w:r w:rsidR="00F61EC5">
        <w:rPr>
          <w:sz w:val="22"/>
          <w:szCs w:val="22"/>
        </w:rPr>
        <w:t xml:space="preserve">In summary following </w:t>
      </w:r>
      <w:r w:rsidR="008111B7">
        <w:rPr>
          <w:sz w:val="22"/>
          <w:szCs w:val="22"/>
        </w:rPr>
        <w:t xml:space="preserve">4 </w:t>
      </w:r>
      <w:r w:rsidR="00F61EC5">
        <w:rPr>
          <w:sz w:val="22"/>
          <w:szCs w:val="22"/>
        </w:rPr>
        <w:t xml:space="preserve">tests </w:t>
      </w:r>
      <w:r w:rsidR="008111B7">
        <w:rPr>
          <w:sz w:val="22"/>
          <w:szCs w:val="22"/>
        </w:rPr>
        <w:t>can be defined covering both intra-frequency and inter-frequency scenarios:</w:t>
      </w:r>
    </w:p>
    <w:p w14:paraId="0B6DE97F" w14:textId="10449C3B" w:rsidR="00F61EC5" w:rsidRPr="008111B7" w:rsidRDefault="008111B7" w:rsidP="008111B7">
      <w:pPr>
        <w:pStyle w:val="ListParagraph"/>
        <w:numPr>
          <w:ilvl w:val="0"/>
          <w:numId w:val="29"/>
        </w:numPr>
        <w:spacing w:before="240"/>
        <w:rPr>
          <w:rFonts w:ascii="Times New Roman" w:hAnsi="Times New Roman"/>
          <w:szCs w:val="22"/>
        </w:rPr>
      </w:pPr>
      <w:r w:rsidRPr="008111B7">
        <w:rPr>
          <w:rFonts w:ascii="Times New Roman" w:hAnsi="Times New Roman"/>
          <w:szCs w:val="22"/>
        </w:rPr>
        <w:t xml:space="preserve">TC1: </w:t>
      </w:r>
      <w:r w:rsidR="00F61EC5" w:rsidRPr="008111B7">
        <w:rPr>
          <w:rFonts w:ascii="Times New Roman" w:hAnsi="Times New Roman"/>
          <w:szCs w:val="22"/>
        </w:rPr>
        <w:t>Inter-frequency RRC Re-establishment in FR1</w:t>
      </w:r>
      <w:r w:rsidRPr="008111B7">
        <w:rPr>
          <w:rFonts w:ascii="Times New Roman" w:hAnsi="Times New Roman"/>
          <w:szCs w:val="22"/>
        </w:rPr>
        <w:t xml:space="preserve"> for LA IAB-MT and IAB type 1-H</w:t>
      </w:r>
    </w:p>
    <w:p w14:paraId="12A36509" w14:textId="6C9865E6" w:rsidR="00F61EC5" w:rsidRPr="008111B7" w:rsidRDefault="008111B7" w:rsidP="008111B7">
      <w:pPr>
        <w:pStyle w:val="ListParagraph"/>
        <w:numPr>
          <w:ilvl w:val="0"/>
          <w:numId w:val="29"/>
        </w:numPr>
        <w:spacing w:before="120"/>
        <w:ind w:left="641" w:hanging="357"/>
        <w:contextualSpacing w:val="0"/>
        <w:rPr>
          <w:rFonts w:ascii="Times New Roman" w:hAnsi="Times New Roman"/>
          <w:szCs w:val="22"/>
        </w:rPr>
      </w:pPr>
      <w:r w:rsidRPr="008111B7">
        <w:rPr>
          <w:rFonts w:ascii="Times New Roman" w:hAnsi="Times New Roman"/>
          <w:szCs w:val="22"/>
        </w:rPr>
        <w:t xml:space="preserve">TC2: </w:t>
      </w:r>
      <w:r w:rsidR="00F61EC5" w:rsidRPr="008111B7">
        <w:rPr>
          <w:rFonts w:ascii="Times New Roman" w:hAnsi="Times New Roman"/>
          <w:szCs w:val="22"/>
        </w:rPr>
        <w:t>Intra-frequency RRC Re-establishment in FR1 without serving cell timing</w:t>
      </w:r>
      <w:r w:rsidRPr="008111B7">
        <w:rPr>
          <w:rFonts w:ascii="Times New Roman" w:hAnsi="Times New Roman"/>
          <w:szCs w:val="22"/>
        </w:rPr>
        <w:t xml:space="preserve"> for LA IAB-MT and IAB type 1-H</w:t>
      </w:r>
    </w:p>
    <w:p w14:paraId="26CCB8B2" w14:textId="56F383A2" w:rsidR="00F61EC5" w:rsidRPr="008111B7" w:rsidRDefault="008111B7" w:rsidP="008111B7">
      <w:pPr>
        <w:pStyle w:val="ListParagraph"/>
        <w:numPr>
          <w:ilvl w:val="0"/>
          <w:numId w:val="29"/>
        </w:numPr>
        <w:spacing w:before="120"/>
        <w:ind w:left="641" w:hanging="357"/>
        <w:contextualSpacing w:val="0"/>
        <w:rPr>
          <w:rFonts w:ascii="Times New Roman" w:hAnsi="Times New Roman"/>
          <w:szCs w:val="22"/>
        </w:rPr>
      </w:pPr>
      <w:r w:rsidRPr="008111B7">
        <w:rPr>
          <w:rFonts w:ascii="Times New Roman" w:hAnsi="Times New Roman"/>
          <w:szCs w:val="22"/>
        </w:rPr>
        <w:lastRenderedPageBreak/>
        <w:t xml:space="preserve">TC3: </w:t>
      </w:r>
      <w:r w:rsidR="00F61EC5" w:rsidRPr="008111B7">
        <w:rPr>
          <w:rFonts w:ascii="Times New Roman" w:hAnsi="Times New Roman"/>
          <w:szCs w:val="22"/>
        </w:rPr>
        <w:t>Inter-frequency RRC Re-establishment in FR2</w:t>
      </w:r>
      <w:r w:rsidRPr="008111B7">
        <w:rPr>
          <w:rFonts w:ascii="Times New Roman" w:hAnsi="Times New Roman"/>
          <w:szCs w:val="22"/>
        </w:rPr>
        <w:t xml:space="preserve"> for LA IAB-MT and IAB type 1-O</w:t>
      </w:r>
    </w:p>
    <w:p w14:paraId="5D50FF65" w14:textId="2DD1FB68" w:rsidR="008111B7" w:rsidRPr="008111B7" w:rsidRDefault="008111B7" w:rsidP="008111B7">
      <w:pPr>
        <w:pStyle w:val="ListParagraph"/>
        <w:numPr>
          <w:ilvl w:val="0"/>
          <w:numId w:val="29"/>
        </w:numPr>
        <w:spacing w:before="120"/>
        <w:ind w:left="641" w:hanging="357"/>
        <w:contextualSpacing w:val="0"/>
        <w:rPr>
          <w:rFonts w:ascii="Times New Roman" w:hAnsi="Times New Roman"/>
          <w:szCs w:val="22"/>
        </w:rPr>
      </w:pPr>
      <w:r w:rsidRPr="008111B7">
        <w:rPr>
          <w:rFonts w:ascii="Times New Roman" w:hAnsi="Times New Roman"/>
          <w:szCs w:val="22"/>
        </w:rPr>
        <w:t xml:space="preserve">TC4: </w:t>
      </w:r>
      <w:r w:rsidR="00F61EC5" w:rsidRPr="008111B7">
        <w:rPr>
          <w:rFonts w:ascii="Times New Roman" w:hAnsi="Times New Roman"/>
          <w:szCs w:val="22"/>
        </w:rPr>
        <w:t>Intra-frequency RRC Re-establishment in FR2 without serving cell timing</w:t>
      </w:r>
      <w:r w:rsidRPr="008111B7">
        <w:rPr>
          <w:rFonts w:ascii="Times New Roman" w:hAnsi="Times New Roman"/>
          <w:szCs w:val="22"/>
        </w:rPr>
        <w:t xml:space="preserve"> for LA IAB-MT and IAB type 1-O</w:t>
      </w:r>
    </w:p>
    <w:p w14:paraId="0341817A" w14:textId="127B9B19" w:rsidR="00E34582" w:rsidRDefault="008111B7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parameters used in the UE tests can be reused in the IAB-MT tests. However, as discussed in another contribution, the test can be done by any set of parameters</w:t>
      </w:r>
      <w:r w:rsidR="00690980">
        <w:rPr>
          <w:sz w:val="22"/>
          <w:szCs w:val="22"/>
        </w:rPr>
        <w:t xml:space="preserve"> [2]</w:t>
      </w:r>
      <w:r>
        <w:rPr>
          <w:sz w:val="22"/>
          <w:szCs w:val="22"/>
        </w:rPr>
        <w:t>. The parameters and corresponding test requirements in these tests are considered only one example.</w:t>
      </w:r>
    </w:p>
    <w:p w14:paraId="45C1AC25" w14:textId="6E49D2DB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7DE338C0" w:rsidR="004E6E42" w:rsidRPr="00644616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644616">
        <w:rPr>
          <w:sz w:val="22"/>
          <w:szCs w:val="22"/>
          <w:lang w:val="en-US"/>
        </w:rPr>
        <w:t xml:space="preserve">In this paper we have </w:t>
      </w:r>
      <w:r w:rsidR="000E3A29" w:rsidRPr="00644616">
        <w:rPr>
          <w:sz w:val="22"/>
          <w:szCs w:val="22"/>
          <w:lang w:val="en-US"/>
        </w:rPr>
        <w:t xml:space="preserve">analyzed the </w:t>
      </w:r>
      <w:r w:rsidR="00690980" w:rsidRPr="00644616">
        <w:rPr>
          <w:sz w:val="22"/>
          <w:szCs w:val="22"/>
          <w:lang w:val="en-US"/>
        </w:rPr>
        <w:t>scenarios and tests for verifying RRC re-establishment requirements</w:t>
      </w:r>
      <w:r w:rsidR="00CE21F0" w:rsidRPr="00644616">
        <w:rPr>
          <w:sz w:val="22"/>
          <w:szCs w:val="22"/>
          <w:lang w:val="en-US"/>
        </w:rPr>
        <w:t xml:space="preserve">. Based on </w:t>
      </w:r>
      <w:r w:rsidR="000C008B" w:rsidRPr="00644616">
        <w:rPr>
          <w:sz w:val="22"/>
          <w:szCs w:val="22"/>
          <w:lang w:val="en-US"/>
        </w:rPr>
        <w:t xml:space="preserve">the </w:t>
      </w:r>
      <w:r w:rsidR="004D50F4" w:rsidRPr="00644616">
        <w:rPr>
          <w:sz w:val="22"/>
          <w:szCs w:val="22"/>
        </w:rPr>
        <w:t>analys</w:t>
      </w:r>
      <w:r w:rsidR="000C008B" w:rsidRPr="00644616">
        <w:rPr>
          <w:sz w:val="22"/>
          <w:szCs w:val="22"/>
        </w:rPr>
        <w:t xml:space="preserve">is </w:t>
      </w:r>
      <w:bookmarkStart w:id="3" w:name="_Hlk23953093"/>
      <w:r w:rsidR="000C008B" w:rsidRPr="00644616">
        <w:rPr>
          <w:sz w:val="22"/>
          <w:szCs w:val="22"/>
          <w:lang w:val="en-US"/>
        </w:rPr>
        <w:t>f</w:t>
      </w:r>
      <w:proofErr w:type="spellStart"/>
      <w:r w:rsidR="00E86FF9" w:rsidRPr="00644616">
        <w:rPr>
          <w:sz w:val="22"/>
          <w:szCs w:val="22"/>
        </w:rPr>
        <w:t>ollowing</w:t>
      </w:r>
      <w:proofErr w:type="spellEnd"/>
      <w:r w:rsidR="00E86FF9" w:rsidRPr="00644616">
        <w:rPr>
          <w:sz w:val="22"/>
          <w:szCs w:val="22"/>
        </w:rPr>
        <w:t xml:space="preserve"> </w:t>
      </w:r>
      <w:r w:rsidR="00690980" w:rsidRPr="00644616">
        <w:rPr>
          <w:sz w:val="22"/>
          <w:szCs w:val="22"/>
        </w:rPr>
        <w:t xml:space="preserve">is </w:t>
      </w:r>
      <w:r w:rsidR="00830921" w:rsidRPr="00644616">
        <w:rPr>
          <w:sz w:val="22"/>
          <w:szCs w:val="22"/>
        </w:rPr>
        <w:t xml:space="preserve">the </w:t>
      </w:r>
      <w:r w:rsidR="000467E3" w:rsidRPr="00644616">
        <w:rPr>
          <w:sz w:val="22"/>
          <w:szCs w:val="22"/>
        </w:rPr>
        <w:t xml:space="preserve">main </w:t>
      </w:r>
      <w:r w:rsidR="00506C4B" w:rsidRPr="00644616">
        <w:rPr>
          <w:sz w:val="22"/>
          <w:szCs w:val="22"/>
        </w:rPr>
        <w:t>proposal</w:t>
      </w:r>
      <w:r w:rsidR="00AE34EB" w:rsidRPr="00644616">
        <w:rPr>
          <w:sz w:val="22"/>
          <w:szCs w:val="22"/>
        </w:rPr>
        <w:t>:</w:t>
      </w:r>
      <w:r w:rsidR="007E7B60" w:rsidRPr="00644616">
        <w:rPr>
          <w:sz w:val="22"/>
          <w:szCs w:val="22"/>
        </w:rPr>
        <w:t xml:space="preserve"> </w:t>
      </w:r>
    </w:p>
    <w:p w14:paraId="0661CBE2" w14:textId="0972BF58" w:rsidR="00690980" w:rsidRPr="00644616" w:rsidRDefault="00A84151" w:rsidP="00690980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44616">
        <w:rPr>
          <w:rFonts w:ascii="Times New Roman" w:hAnsi="Times New Roman"/>
          <w:b/>
          <w:bCs/>
          <w:szCs w:val="22"/>
        </w:rPr>
        <w:t>Proposal 1:</w:t>
      </w:r>
      <w:r w:rsidRPr="00644616">
        <w:rPr>
          <w:rFonts w:ascii="Times New Roman" w:hAnsi="Times New Roman"/>
          <w:szCs w:val="22"/>
        </w:rPr>
        <w:t xml:space="preserve"> </w:t>
      </w:r>
      <w:r w:rsidR="008111B7" w:rsidRPr="00644616">
        <w:rPr>
          <w:rFonts w:ascii="Times New Roman" w:hAnsi="Times New Roman"/>
          <w:szCs w:val="22"/>
        </w:rPr>
        <w:t xml:space="preserve">Following test cases are defined to verify RRC re-establishment requirements </w:t>
      </w:r>
      <w:r w:rsidR="00690980" w:rsidRPr="00644616">
        <w:rPr>
          <w:rFonts w:ascii="Times New Roman" w:hAnsi="Times New Roman"/>
          <w:szCs w:val="22"/>
        </w:rPr>
        <w:t>in clause 12.1.1.1, TS 38.174:</w:t>
      </w:r>
    </w:p>
    <w:p w14:paraId="2C6CE100" w14:textId="77777777" w:rsidR="008111B7" w:rsidRPr="00644616" w:rsidRDefault="008111B7" w:rsidP="00690980">
      <w:pPr>
        <w:pStyle w:val="ListParagraph"/>
        <w:numPr>
          <w:ilvl w:val="1"/>
          <w:numId w:val="30"/>
        </w:numPr>
        <w:spacing w:before="120"/>
        <w:contextualSpacing w:val="0"/>
        <w:rPr>
          <w:rFonts w:ascii="Times New Roman" w:hAnsi="Times New Roman"/>
          <w:szCs w:val="22"/>
        </w:rPr>
      </w:pPr>
      <w:r w:rsidRPr="00644616">
        <w:rPr>
          <w:rFonts w:ascii="Times New Roman" w:hAnsi="Times New Roman"/>
          <w:szCs w:val="22"/>
        </w:rPr>
        <w:t>TC1: Inter-frequency RRC Re-establishment in FR1 for LA IAB-MT and IAB type 1-H</w:t>
      </w:r>
    </w:p>
    <w:p w14:paraId="68007D49" w14:textId="77777777" w:rsidR="008111B7" w:rsidRPr="00644616" w:rsidRDefault="008111B7" w:rsidP="00690980">
      <w:pPr>
        <w:pStyle w:val="ListParagraph"/>
        <w:numPr>
          <w:ilvl w:val="1"/>
          <w:numId w:val="30"/>
        </w:numPr>
        <w:spacing w:before="120"/>
        <w:contextualSpacing w:val="0"/>
        <w:rPr>
          <w:rFonts w:ascii="Times New Roman" w:hAnsi="Times New Roman"/>
          <w:szCs w:val="22"/>
        </w:rPr>
      </w:pPr>
      <w:r w:rsidRPr="00644616">
        <w:rPr>
          <w:rFonts w:ascii="Times New Roman" w:hAnsi="Times New Roman"/>
          <w:szCs w:val="22"/>
        </w:rPr>
        <w:t>TC2: Intra-frequency RRC Re-establishment in FR1 without serving cell timing for LA IAB-MT and IAB type 1-H</w:t>
      </w:r>
    </w:p>
    <w:p w14:paraId="75D353E0" w14:textId="77777777" w:rsidR="008111B7" w:rsidRPr="00644616" w:rsidRDefault="008111B7" w:rsidP="00690980">
      <w:pPr>
        <w:pStyle w:val="ListParagraph"/>
        <w:numPr>
          <w:ilvl w:val="1"/>
          <w:numId w:val="30"/>
        </w:numPr>
        <w:spacing w:before="120"/>
        <w:contextualSpacing w:val="0"/>
        <w:rPr>
          <w:rFonts w:ascii="Times New Roman" w:hAnsi="Times New Roman"/>
          <w:szCs w:val="22"/>
        </w:rPr>
      </w:pPr>
      <w:r w:rsidRPr="00644616">
        <w:rPr>
          <w:rFonts w:ascii="Times New Roman" w:hAnsi="Times New Roman"/>
          <w:szCs w:val="22"/>
        </w:rPr>
        <w:t>TC3: Inter-frequency RRC Re-establishment in FR2 for LA IAB-MT and IAB type 1-O</w:t>
      </w:r>
    </w:p>
    <w:p w14:paraId="3F1BE6AA" w14:textId="0A15F841" w:rsidR="008111B7" w:rsidRPr="00644616" w:rsidRDefault="008111B7" w:rsidP="00690980">
      <w:pPr>
        <w:pStyle w:val="ListParagraph"/>
        <w:numPr>
          <w:ilvl w:val="1"/>
          <w:numId w:val="30"/>
        </w:numPr>
        <w:spacing w:before="120"/>
        <w:contextualSpacing w:val="0"/>
        <w:rPr>
          <w:rFonts w:ascii="Times New Roman" w:hAnsi="Times New Roman"/>
          <w:szCs w:val="22"/>
        </w:rPr>
      </w:pPr>
      <w:r w:rsidRPr="00644616">
        <w:rPr>
          <w:rFonts w:ascii="Times New Roman" w:hAnsi="Times New Roman"/>
          <w:szCs w:val="22"/>
        </w:rPr>
        <w:t>TC4: Intra-frequency RRC Re-establishment in FR2 without serving cell timing for LA IAB-MT and IAB type 1-O</w:t>
      </w:r>
    </w:p>
    <w:p w14:paraId="52B4CD9D" w14:textId="144922D9" w:rsidR="00EB38CF" w:rsidRPr="00644616" w:rsidRDefault="003C6E91" w:rsidP="00BA47B2">
      <w:pPr>
        <w:spacing w:before="360"/>
        <w:rPr>
          <w:sz w:val="22"/>
          <w:szCs w:val="22"/>
          <w:lang w:val="en-US"/>
        </w:rPr>
      </w:pPr>
      <w:r w:rsidRPr="00644616">
        <w:rPr>
          <w:sz w:val="22"/>
          <w:szCs w:val="22"/>
          <w:lang w:val="en-US"/>
        </w:rPr>
        <w:t xml:space="preserve">The </w:t>
      </w:r>
      <w:r w:rsidR="00690980" w:rsidRPr="00644616">
        <w:rPr>
          <w:sz w:val="22"/>
          <w:szCs w:val="22"/>
          <w:lang w:val="en-US"/>
        </w:rPr>
        <w:t xml:space="preserve">corresponding draft </w:t>
      </w:r>
      <w:r w:rsidR="00A800B5" w:rsidRPr="00644616">
        <w:rPr>
          <w:sz w:val="22"/>
          <w:szCs w:val="22"/>
          <w:lang w:val="en-US"/>
        </w:rPr>
        <w:t>CR to TS 38.174 on</w:t>
      </w:r>
      <w:r w:rsidR="003E6EC0" w:rsidRPr="00644616">
        <w:rPr>
          <w:sz w:val="22"/>
          <w:szCs w:val="22"/>
          <w:lang w:val="en-US"/>
        </w:rPr>
        <w:t xml:space="preserve"> RRC re-establishment test case</w:t>
      </w:r>
      <w:r w:rsidR="00690980" w:rsidRPr="00644616">
        <w:rPr>
          <w:sz w:val="22"/>
          <w:szCs w:val="22"/>
          <w:lang w:val="en-US"/>
        </w:rPr>
        <w:t>s</w:t>
      </w:r>
      <w:r w:rsidR="003E6EC0" w:rsidRPr="00644616">
        <w:rPr>
          <w:sz w:val="22"/>
          <w:szCs w:val="22"/>
          <w:lang w:val="en-US"/>
        </w:rPr>
        <w:t xml:space="preserve"> f</w:t>
      </w:r>
      <w:r w:rsidR="00CC1B67" w:rsidRPr="00644616">
        <w:rPr>
          <w:sz w:val="22"/>
          <w:szCs w:val="22"/>
          <w:lang w:val="en-US"/>
        </w:rPr>
        <w:t xml:space="preserve">or IAB-MT </w:t>
      </w:r>
      <w:r w:rsidR="00D57FD6" w:rsidRPr="00644616">
        <w:rPr>
          <w:sz w:val="22"/>
          <w:szCs w:val="22"/>
          <w:lang w:val="en-US"/>
        </w:rPr>
        <w:t xml:space="preserve">is provided in </w:t>
      </w:r>
      <w:r w:rsidR="000E3C71" w:rsidRPr="00644616">
        <w:rPr>
          <w:sz w:val="22"/>
          <w:szCs w:val="22"/>
          <w:lang w:val="en-US"/>
        </w:rPr>
        <w:t>[</w:t>
      </w:r>
      <w:r w:rsidR="00690980" w:rsidRPr="00644616">
        <w:rPr>
          <w:sz w:val="22"/>
          <w:szCs w:val="22"/>
          <w:lang w:val="en-US"/>
        </w:rPr>
        <w:t>3</w:t>
      </w:r>
      <w:r w:rsidR="000E3C71" w:rsidRPr="00644616">
        <w:rPr>
          <w:sz w:val="22"/>
          <w:szCs w:val="22"/>
          <w:lang w:val="en-US"/>
        </w:rPr>
        <w:t>]</w:t>
      </w:r>
      <w:r w:rsidR="00F1568B" w:rsidRPr="00644616">
        <w:rPr>
          <w:sz w:val="22"/>
          <w:szCs w:val="22"/>
          <w:lang w:val="en-US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E69BA3E" w14:textId="61E4ADDF" w:rsidR="00AC2528" w:rsidRDefault="00AC2528" w:rsidP="00AC2528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E6EC0">
        <w:rPr>
          <w:rFonts w:ascii="Times New Roman" w:hAnsi="Times New Roman"/>
          <w:sz w:val="20"/>
        </w:rPr>
        <w:t>R4-2017383</w:t>
      </w:r>
      <w:r w:rsidR="00085794">
        <w:rPr>
          <w:rFonts w:ascii="Times New Roman" w:hAnsi="Times New Roman"/>
          <w:sz w:val="20"/>
        </w:rPr>
        <w:t xml:space="preserve">, </w:t>
      </w:r>
      <w:r w:rsidRPr="003E6EC0">
        <w:rPr>
          <w:rFonts w:ascii="Times New Roman" w:hAnsi="Times New Roman"/>
          <w:sz w:val="20"/>
        </w:rPr>
        <w:t>WF on test cases for IAB-MTs, ZTE</w:t>
      </w:r>
    </w:p>
    <w:p w14:paraId="7343F210" w14:textId="1FBE4788" w:rsidR="003B5649" w:rsidRPr="00C903BD" w:rsidRDefault="003B5649" w:rsidP="00C903BD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3B5649">
        <w:rPr>
          <w:rFonts w:ascii="Times New Roman" w:hAnsi="Times New Roman"/>
          <w:sz w:val="20"/>
        </w:rPr>
        <w:t>R4-2</w:t>
      </w:r>
      <w:r w:rsidR="00613F9B">
        <w:rPr>
          <w:rFonts w:ascii="Times New Roman" w:hAnsi="Times New Roman"/>
          <w:sz w:val="20"/>
        </w:rPr>
        <w:t>102640</w:t>
      </w:r>
      <w:bookmarkStart w:id="4" w:name="_GoBack"/>
      <w:bookmarkEnd w:id="4"/>
      <w:r w:rsidRPr="003B5649">
        <w:rPr>
          <w:rFonts w:ascii="Times New Roman" w:hAnsi="Times New Roman"/>
          <w:sz w:val="20"/>
        </w:rPr>
        <w:t>, “</w:t>
      </w:r>
      <w:r w:rsidR="00C903BD" w:rsidRPr="00C903BD">
        <w:rPr>
          <w:rFonts w:ascii="Times New Roman" w:hAnsi="Times New Roman"/>
          <w:sz w:val="20"/>
        </w:rPr>
        <w:t>General principles for IAB RRM test cases</w:t>
      </w:r>
      <w:r w:rsidR="00C903BD">
        <w:rPr>
          <w:rFonts w:ascii="Times New Roman" w:hAnsi="Times New Roman"/>
          <w:sz w:val="20"/>
        </w:rPr>
        <w:t xml:space="preserve">, </w:t>
      </w:r>
      <w:r w:rsidRPr="003B5649">
        <w:rPr>
          <w:rFonts w:ascii="Times New Roman" w:hAnsi="Times New Roman"/>
          <w:sz w:val="20"/>
        </w:rPr>
        <w:t>Ericsson</w:t>
      </w:r>
    </w:p>
    <w:p w14:paraId="4658DFD2" w14:textId="23EE3F59" w:rsidR="003E6EC0" w:rsidRPr="003E6EC0" w:rsidRDefault="00CC1B67" w:rsidP="00C903BD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3E6EC0">
        <w:rPr>
          <w:rFonts w:ascii="Times New Roman" w:hAnsi="Times New Roman"/>
          <w:sz w:val="20"/>
        </w:rPr>
        <w:t>R4-2</w:t>
      </w:r>
      <w:r w:rsidR="003E6EC0" w:rsidRPr="003E6EC0">
        <w:rPr>
          <w:rFonts w:ascii="Times New Roman" w:hAnsi="Times New Roman"/>
          <w:sz w:val="20"/>
        </w:rPr>
        <w:t>1</w:t>
      </w:r>
      <w:r w:rsidR="00613F9B">
        <w:rPr>
          <w:rFonts w:ascii="Times New Roman" w:hAnsi="Times New Roman"/>
          <w:sz w:val="20"/>
        </w:rPr>
        <w:t>02639</w:t>
      </w:r>
      <w:r w:rsidRPr="003E6EC0">
        <w:rPr>
          <w:rFonts w:ascii="Times New Roman" w:hAnsi="Times New Roman"/>
          <w:sz w:val="20"/>
        </w:rPr>
        <w:t>, “</w:t>
      </w:r>
      <w:r w:rsidR="003E6EC0" w:rsidRPr="003E6EC0">
        <w:rPr>
          <w:rFonts w:ascii="Times New Roman" w:hAnsi="Times New Roman"/>
          <w:sz w:val="20"/>
        </w:rPr>
        <w:t>RRC re-establishment tests for LA IAB-MT</w:t>
      </w:r>
      <w:r w:rsidR="00C903BD">
        <w:rPr>
          <w:rFonts w:ascii="Times New Roman" w:hAnsi="Times New Roman"/>
          <w:sz w:val="20"/>
        </w:rPr>
        <w:t xml:space="preserve">, </w:t>
      </w:r>
      <w:r w:rsidR="003E6EC0" w:rsidRPr="003E6EC0">
        <w:rPr>
          <w:rFonts w:ascii="Times New Roman" w:hAnsi="Times New Roman"/>
          <w:sz w:val="20"/>
        </w:rPr>
        <w:t>Ericsson</w:t>
      </w:r>
    </w:p>
    <w:sectPr w:rsidR="003E6EC0" w:rsidRPr="003E6E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F02F2" w14:textId="77777777" w:rsidR="00C238E6" w:rsidRDefault="00C238E6">
      <w:r>
        <w:separator/>
      </w:r>
    </w:p>
  </w:endnote>
  <w:endnote w:type="continuationSeparator" w:id="0">
    <w:p w14:paraId="78ED0D8C" w14:textId="77777777" w:rsidR="00C238E6" w:rsidRDefault="00C2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FFB8A" w14:textId="77777777" w:rsidR="00C238E6" w:rsidRDefault="00C238E6">
      <w:r>
        <w:separator/>
      </w:r>
    </w:p>
  </w:footnote>
  <w:footnote w:type="continuationSeparator" w:id="0">
    <w:p w14:paraId="59780B31" w14:textId="77777777" w:rsidR="00C238E6" w:rsidRDefault="00C2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FD94781"/>
    <w:multiLevelType w:val="hybridMultilevel"/>
    <w:tmpl w:val="E3BC250C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D1070A"/>
    <w:multiLevelType w:val="hybridMultilevel"/>
    <w:tmpl w:val="8632D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8C61B4"/>
    <w:multiLevelType w:val="hybridMultilevel"/>
    <w:tmpl w:val="EC38B688"/>
    <w:lvl w:ilvl="0" w:tplc="2B22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883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8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6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AC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8E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4" w15:restartNumberingAfterBreak="0">
    <w:nsid w:val="3BA278F4"/>
    <w:multiLevelType w:val="hybridMultilevel"/>
    <w:tmpl w:val="13A64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92358E"/>
    <w:multiLevelType w:val="hybridMultilevel"/>
    <w:tmpl w:val="F5EE6FE8"/>
    <w:lvl w:ilvl="0" w:tplc="98C06FE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13B0CDA6">
      <w:numFmt w:val="none"/>
      <w:lvlText w:val=""/>
      <w:lvlJc w:val="left"/>
      <w:pPr>
        <w:tabs>
          <w:tab w:val="num" w:pos="360"/>
        </w:tabs>
      </w:pPr>
    </w:lvl>
    <w:lvl w:ilvl="2" w:tplc="0AF239DE">
      <w:start w:val="38"/>
      <w:numFmt w:val="bullet"/>
      <w:lvlText w:val="-"/>
      <w:lvlJc w:val="left"/>
      <w:pPr>
        <w:ind w:left="2050" w:hanging="360"/>
      </w:pPr>
      <w:rPr>
        <w:rFonts w:ascii="Times New Roman" w:eastAsia="Times New Roman" w:hAnsi="Times New Roman" w:cs="Times New Roman" w:hint="default"/>
      </w:rPr>
    </w:lvl>
    <w:lvl w:ilvl="3" w:tplc="45068BBA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D61A497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C7AEE18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92EAB90E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05BE8652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12437BC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6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8C0668"/>
    <w:multiLevelType w:val="hybridMultilevel"/>
    <w:tmpl w:val="D5024462"/>
    <w:lvl w:ilvl="0" w:tplc="D670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CC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0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2D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8A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E3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4A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E5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A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0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6F7503"/>
    <w:multiLevelType w:val="hybridMultilevel"/>
    <w:tmpl w:val="A3CA02A4"/>
    <w:lvl w:ilvl="0" w:tplc="85AC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23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24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4D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61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A4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80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F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29"/>
  </w:num>
  <w:num w:numId="4">
    <w:abstractNumId w:val="0"/>
  </w:num>
  <w:num w:numId="5">
    <w:abstractNumId w:val="16"/>
  </w:num>
  <w:num w:numId="6">
    <w:abstractNumId w:val="28"/>
  </w:num>
  <w:num w:numId="7">
    <w:abstractNumId w:val="25"/>
  </w:num>
  <w:num w:numId="8">
    <w:abstractNumId w:val="23"/>
  </w:num>
  <w:num w:numId="9">
    <w:abstractNumId w:val="3"/>
  </w:num>
  <w:num w:numId="10">
    <w:abstractNumId w:val="13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24"/>
  </w:num>
  <w:num w:numId="17">
    <w:abstractNumId w:val="6"/>
  </w:num>
  <w:num w:numId="18">
    <w:abstractNumId w:val="27"/>
  </w:num>
  <w:num w:numId="19">
    <w:abstractNumId w:val="20"/>
  </w:num>
  <w:num w:numId="20">
    <w:abstractNumId w:val="19"/>
  </w:num>
  <w:num w:numId="21">
    <w:abstractNumId w:val="17"/>
  </w:num>
  <w:num w:numId="22">
    <w:abstractNumId w:val="21"/>
  </w:num>
  <w:num w:numId="23">
    <w:abstractNumId w:val="11"/>
  </w:num>
  <w:num w:numId="24">
    <w:abstractNumId w:val="15"/>
  </w:num>
  <w:num w:numId="25">
    <w:abstractNumId w:val="12"/>
  </w:num>
  <w:num w:numId="26">
    <w:abstractNumId w:val="22"/>
  </w:num>
  <w:num w:numId="27">
    <w:abstractNumId w:val="18"/>
  </w:num>
  <w:num w:numId="28">
    <w:abstractNumId w:val="10"/>
  </w:num>
  <w:num w:numId="29">
    <w:abstractNumId w:val="9"/>
  </w:num>
  <w:num w:numId="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3A3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12EE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EF8"/>
    <w:rsid w:val="00081F9F"/>
    <w:rsid w:val="000825DC"/>
    <w:rsid w:val="00083A3F"/>
    <w:rsid w:val="00083AA0"/>
    <w:rsid w:val="00084101"/>
    <w:rsid w:val="00085062"/>
    <w:rsid w:val="000850C5"/>
    <w:rsid w:val="00085794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2435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A2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6F09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3F24"/>
    <w:rsid w:val="001355F8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1F3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1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D40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BBF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2DE"/>
    <w:rsid w:val="003B02AC"/>
    <w:rsid w:val="003B06ED"/>
    <w:rsid w:val="003B07C4"/>
    <w:rsid w:val="003B27A7"/>
    <w:rsid w:val="003B360F"/>
    <w:rsid w:val="003B374F"/>
    <w:rsid w:val="003B3BF5"/>
    <w:rsid w:val="003B5649"/>
    <w:rsid w:val="003B5A0C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6EC0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1D61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2EF3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8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069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C5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6DED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231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28B3"/>
    <w:rsid w:val="00613AFE"/>
    <w:rsid w:val="00613F9B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616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980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5B1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910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1B7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953"/>
    <w:rsid w:val="00814367"/>
    <w:rsid w:val="00814B1D"/>
    <w:rsid w:val="00814B85"/>
    <w:rsid w:val="008150D9"/>
    <w:rsid w:val="008153B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0FA4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C1A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34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9F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1C1E"/>
    <w:rsid w:val="009D2E10"/>
    <w:rsid w:val="009D4B37"/>
    <w:rsid w:val="009D4CCB"/>
    <w:rsid w:val="009D4FE9"/>
    <w:rsid w:val="009D5C6C"/>
    <w:rsid w:val="009D673E"/>
    <w:rsid w:val="009D6DFB"/>
    <w:rsid w:val="009D7407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030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C41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151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528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1E4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8E6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43BB"/>
    <w:rsid w:val="00C44D1B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98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3BD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B67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904"/>
    <w:rsid w:val="00D57C80"/>
    <w:rsid w:val="00D57FD6"/>
    <w:rsid w:val="00D60749"/>
    <w:rsid w:val="00D6245A"/>
    <w:rsid w:val="00D62F17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84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859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582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98E"/>
    <w:rsid w:val="00E95E21"/>
    <w:rsid w:val="00E95EB6"/>
    <w:rsid w:val="00E960B6"/>
    <w:rsid w:val="00E96546"/>
    <w:rsid w:val="00E97213"/>
    <w:rsid w:val="00E97292"/>
    <w:rsid w:val="00E97A2A"/>
    <w:rsid w:val="00E97D02"/>
    <w:rsid w:val="00EA0065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953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89B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EC5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3C5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261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8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0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419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0B407B-105A-4BBC-BD23-DD97137A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650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30</cp:revision>
  <cp:lastPrinted>1899-12-31T23:00:00Z</cp:lastPrinted>
  <dcterms:created xsi:type="dcterms:W3CDTF">2021-01-15T12:47:00Z</dcterms:created>
  <dcterms:modified xsi:type="dcterms:W3CDTF">2021-01-15T21:26:00Z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